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A5" w:rsidRDefault="00247DE8">
      <w:pPr>
        <w:pStyle w:val="a0"/>
        <w:spacing w:line="360" w:lineRule="auto"/>
        <w:ind w:firstLineChars="0" w:firstLine="0"/>
        <w:rPr>
          <w:rStyle w:val="a6"/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fldChar w:fldCharType="begin"/>
      </w:r>
      <w:r w:rsidR="003B2D42">
        <w:rPr>
          <w:rFonts w:ascii="黑体" w:eastAsia="黑体" w:hAnsi="黑体" w:cs="黑体"/>
          <w:b/>
          <w:bCs/>
          <w:sz w:val="28"/>
          <w:szCs w:val="28"/>
        </w:rPr>
        <w:instrText>HYPERLINK "D:\\Documents\\WeChat Files\\wxid_mzbr0kh1y0pd21\\FileStorage\\File\\工程施工重大风险清单201016.docx"</w:instrText>
      </w:r>
      <w:r w:rsidR="003B2D42">
        <w:rPr>
          <w:rFonts w:ascii="黑体" w:eastAsia="黑体" w:hAnsi="黑体" w:cs="黑体" w:hint="eastAsia"/>
          <w:b/>
          <w:bCs/>
          <w:sz w:val="28"/>
          <w:szCs w:val="28"/>
        </w:rPr>
      </w:r>
      <w:r>
        <w:rPr>
          <w:rFonts w:ascii="黑体" w:eastAsia="黑体" w:hAnsi="黑体" w:cs="黑体" w:hint="eastAsia"/>
          <w:b/>
          <w:bCs/>
          <w:sz w:val="28"/>
          <w:szCs w:val="28"/>
        </w:rPr>
        <w:fldChar w:fldCharType="separate"/>
      </w:r>
      <w:r>
        <w:rPr>
          <w:rStyle w:val="a6"/>
          <w:rFonts w:ascii="黑体" w:eastAsia="黑体" w:hAnsi="黑体" w:cs="黑体" w:hint="eastAsia"/>
          <w:b/>
          <w:bCs/>
          <w:sz w:val="28"/>
          <w:szCs w:val="28"/>
        </w:rPr>
        <w:t>附件</w:t>
      </w:r>
      <w:r>
        <w:rPr>
          <w:rStyle w:val="a6"/>
          <w:rFonts w:ascii="黑体" w:eastAsia="黑体" w:hAnsi="黑体" w:cs="黑体" w:hint="eastAsia"/>
          <w:b/>
          <w:bCs/>
          <w:sz w:val="28"/>
          <w:szCs w:val="28"/>
        </w:rPr>
        <w:t>2</w:t>
      </w:r>
    </w:p>
    <w:p w:rsidR="009A57A5" w:rsidRDefault="00247DE8">
      <w:pPr>
        <w:pStyle w:val="a0"/>
        <w:adjustRightInd w:val="0"/>
        <w:snapToGrid w:val="0"/>
        <w:spacing w:afterLines="50" w:after="156" w:line="360" w:lineRule="auto"/>
        <w:ind w:firstLineChars="0" w:firstLine="0"/>
        <w:jc w:val="center"/>
        <w:rPr>
          <w:rFonts w:ascii="黑体" w:eastAsia="黑体" w:hAnsi="黑体" w:cs="黑体"/>
          <w:szCs w:val="2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fldChar w:fldCharType="end"/>
      </w:r>
      <w:r>
        <w:rPr>
          <w:rFonts w:ascii="黑体" w:eastAsia="黑体" w:hAnsi="黑体" w:cs="黑体" w:hint="eastAsia"/>
          <w:sz w:val="28"/>
          <w:szCs w:val="28"/>
        </w:rPr>
        <w:t>水利水电工程施工重大危险源清单</w:t>
      </w:r>
      <w:r>
        <w:rPr>
          <w:rFonts w:ascii="黑体" w:eastAsia="黑体" w:hAnsi="黑体" w:cs="黑体" w:hint="eastAsia"/>
          <w:sz w:val="28"/>
          <w:szCs w:val="28"/>
        </w:rPr>
        <w:t>（指南）</w:t>
      </w:r>
    </w:p>
    <w:tbl>
      <w:tblPr>
        <w:tblW w:w="8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752"/>
        <w:gridCol w:w="1039"/>
        <w:gridCol w:w="3772"/>
        <w:gridCol w:w="2260"/>
      </w:tblGrid>
      <w:tr w:rsidR="009A57A5">
        <w:trPr>
          <w:trHeight w:val="703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序号</w:t>
            </w:r>
          </w:p>
        </w:tc>
        <w:tc>
          <w:tcPr>
            <w:tcW w:w="75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类别</w:t>
            </w: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项目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重大危险源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可能导致的事故类型</w:t>
            </w:r>
          </w:p>
        </w:tc>
      </w:tr>
      <w:tr w:rsidR="009A57A5">
        <w:trPr>
          <w:trHeight w:val="443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</w:t>
            </w:r>
          </w:p>
        </w:tc>
        <w:tc>
          <w:tcPr>
            <w:tcW w:w="752" w:type="dxa"/>
            <w:vMerge w:val="restart"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施工作业类</w:t>
            </w: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rPr>
                <w:rFonts w:ascii="宋体" w:hAnsi="宋体" w:cs="宋体"/>
                <w:kern w:val="0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ind w:firstLineChars="100" w:firstLine="210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明挖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施工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滑坡地段的开挖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坍塌、物体打击、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机械伤害</w:t>
            </w:r>
          </w:p>
        </w:tc>
      </w:tr>
      <w:tr w:rsidR="009A57A5">
        <w:trPr>
          <w:trHeight w:val="51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堆渣高度大于</w:t>
            </w:r>
            <w:r>
              <w:rPr>
                <w:rFonts w:ascii="宋体" w:hAnsi="宋体" w:cs="宋体" w:hint="eastAsia"/>
                <w:kern w:val="0"/>
                <w:sz w:val="21"/>
              </w:rPr>
              <w:t>10m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（含）的挖掘作业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坍塌、物体打击、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机械伤害</w:t>
            </w:r>
          </w:p>
        </w:tc>
      </w:tr>
      <w:tr w:rsidR="009A57A5">
        <w:trPr>
          <w:trHeight w:val="463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土方边坡高度大于</w:t>
            </w:r>
            <w:r>
              <w:rPr>
                <w:rFonts w:ascii="宋体" w:hAnsi="宋体" w:cs="宋体" w:hint="eastAsia"/>
                <w:kern w:val="0"/>
                <w:sz w:val="21"/>
              </w:rPr>
              <w:t>30m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（含）或地质缺陷部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1"/>
              </w:rPr>
              <w:t>位的开挖作业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坍塌、物体打击、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机械伤害</w:t>
            </w:r>
          </w:p>
        </w:tc>
      </w:tr>
      <w:tr w:rsidR="009A57A5">
        <w:trPr>
          <w:trHeight w:val="619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石方边坡高度大于</w:t>
            </w:r>
            <w:r>
              <w:rPr>
                <w:rFonts w:ascii="宋体" w:hAnsi="宋体" w:cs="宋体" w:hint="eastAsia"/>
                <w:kern w:val="0"/>
                <w:sz w:val="21"/>
              </w:rPr>
              <w:t>50m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（含）或滑坡地段的开挖作业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坍塌、物体打击、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机械伤害</w:t>
            </w:r>
          </w:p>
        </w:tc>
      </w:tr>
      <w:tr w:rsidR="009A57A5">
        <w:trPr>
          <w:trHeight w:val="51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5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ind w:firstLineChars="100" w:firstLine="210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洞挖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施工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断面大于</w:t>
            </w:r>
            <w:r>
              <w:rPr>
                <w:rFonts w:ascii="宋体" w:hAnsi="宋体" w:cs="宋体" w:hint="eastAsia"/>
                <w:kern w:val="0"/>
                <w:sz w:val="21"/>
              </w:rPr>
              <w:t>20m</w:t>
            </w:r>
            <w:r>
              <w:rPr>
                <w:rFonts w:ascii="宋体" w:hAnsi="宋体" w:cs="宋体" w:hint="eastAsia"/>
                <w:kern w:val="0"/>
                <w:sz w:val="21"/>
                <w:vertAlign w:val="superscript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或单洞长度大于</w:t>
            </w:r>
            <w:r>
              <w:rPr>
                <w:rFonts w:ascii="宋体" w:hAnsi="宋体" w:cs="宋体" w:hint="eastAsia"/>
                <w:kern w:val="0"/>
                <w:sz w:val="21"/>
              </w:rPr>
              <w:t>50m</w:t>
            </w:r>
            <w:r>
              <w:rPr>
                <w:rFonts w:ascii="宋体" w:hAnsi="宋体" w:cs="宋体" w:hint="eastAsia"/>
                <w:kern w:val="0"/>
                <w:sz w:val="21"/>
              </w:rPr>
              <w:t>以及地质缺陷部位开挖；地应力大于</w:t>
            </w:r>
            <w:r>
              <w:rPr>
                <w:rFonts w:ascii="宋体" w:hAnsi="宋体" w:cs="宋体" w:hint="eastAsia"/>
                <w:kern w:val="0"/>
                <w:sz w:val="21"/>
              </w:rPr>
              <w:t>20MPa</w:t>
            </w:r>
            <w:r>
              <w:rPr>
                <w:rFonts w:ascii="宋体" w:hAnsi="宋体" w:cs="宋体" w:hint="eastAsia"/>
                <w:kern w:val="0"/>
                <w:sz w:val="21"/>
              </w:rPr>
              <w:t>或大于岩石强度的</w:t>
            </w:r>
            <w:r>
              <w:rPr>
                <w:rFonts w:ascii="宋体" w:hAnsi="宋体" w:cs="宋体" w:hint="eastAsia"/>
                <w:kern w:val="0"/>
                <w:sz w:val="21"/>
              </w:rPr>
              <w:t>1/5</w:t>
            </w:r>
            <w:r>
              <w:rPr>
                <w:rFonts w:ascii="宋体" w:hAnsi="宋体" w:cs="宋体" w:hint="eastAsia"/>
                <w:kern w:val="0"/>
                <w:sz w:val="21"/>
              </w:rPr>
              <w:t>或埋深大于</w:t>
            </w:r>
            <w:r>
              <w:rPr>
                <w:rFonts w:ascii="宋体" w:hAnsi="宋体" w:cs="宋体" w:hint="eastAsia"/>
                <w:kern w:val="0"/>
                <w:sz w:val="21"/>
              </w:rPr>
              <w:t>500m</w:t>
            </w:r>
            <w:r>
              <w:rPr>
                <w:rFonts w:ascii="宋体" w:hAnsi="宋体" w:cs="宋体" w:hint="eastAsia"/>
                <w:kern w:val="0"/>
                <w:sz w:val="21"/>
              </w:rPr>
              <w:t>部位的作业；洞室临近相互贯通时的作业；当某一工作面爆破作业时，相邻洞室的施工作业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冒顶片帮、物体打击、机械伤害</w:t>
            </w:r>
          </w:p>
        </w:tc>
      </w:tr>
      <w:tr w:rsidR="009A57A5">
        <w:trPr>
          <w:trHeight w:val="448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6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不能及时支护的部位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冒顶片帮、物体打击、机械伤害</w:t>
            </w:r>
          </w:p>
        </w:tc>
      </w:tr>
      <w:tr w:rsidR="009A57A5">
        <w:trPr>
          <w:trHeight w:val="292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7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隧洞进出口及交叉洞作业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冒顶片帮、物体打击、机械伤害</w:t>
            </w:r>
          </w:p>
        </w:tc>
      </w:tr>
      <w:tr w:rsidR="009A57A5">
        <w:trPr>
          <w:trHeight w:val="47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8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地下水活动强烈地段开挖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透水、物体打击、机械伤害</w:t>
            </w:r>
          </w:p>
        </w:tc>
      </w:tr>
      <w:tr w:rsidR="009A57A5">
        <w:trPr>
          <w:trHeight w:val="893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9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ind w:firstLineChars="100" w:firstLine="210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石方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爆破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一次装药量大于</w:t>
            </w:r>
            <w:r>
              <w:rPr>
                <w:rFonts w:ascii="宋体" w:hAnsi="宋体" w:cs="宋体" w:hint="eastAsia"/>
                <w:kern w:val="0"/>
                <w:sz w:val="21"/>
              </w:rPr>
              <w:t>200</w:t>
            </w:r>
            <w:r>
              <w:rPr>
                <w:rFonts w:ascii="宋体" w:hAnsi="宋体" w:cs="宋体" w:hint="eastAsia"/>
                <w:kern w:val="0"/>
                <w:sz w:val="21"/>
              </w:rPr>
              <w:t>k</w:t>
            </w:r>
            <w:r>
              <w:rPr>
                <w:rFonts w:ascii="宋体" w:hAnsi="宋体" w:cs="宋体" w:hint="eastAsia"/>
                <w:kern w:val="0"/>
                <w:sz w:val="21"/>
              </w:rPr>
              <w:t>g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（含）的爆破；雷雨天气的露天爆破作业；多作业面同时爆破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火药爆炸、放炮、物体打击、坍塌</w:t>
            </w:r>
          </w:p>
        </w:tc>
      </w:tr>
      <w:tr w:rsidR="009A57A5">
        <w:trPr>
          <w:trHeight w:val="51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10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一次装药量大于</w:t>
            </w:r>
            <w:r>
              <w:rPr>
                <w:rFonts w:ascii="宋体" w:hAnsi="宋体" w:cs="宋体" w:hint="eastAsia"/>
                <w:kern w:val="0"/>
                <w:sz w:val="21"/>
              </w:rPr>
              <w:t>50</w:t>
            </w:r>
            <w:r>
              <w:rPr>
                <w:rFonts w:ascii="宋体" w:hAnsi="宋体" w:cs="宋体" w:hint="eastAsia"/>
                <w:kern w:val="0"/>
                <w:sz w:val="21"/>
              </w:rPr>
              <w:t>k</w:t>
            </w:r>
            <w:r>
              <w:rPr>
                <w:rFonts w:ascii="宋体" w:hAnsi="宋体" w:cs="宋体" w:hint="eastAsia"/>
                <w:kern w:val="0"/>
                <w:sz w:val="21"/>
              </w:rPr>
              <w:t>g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（含）的地下爆破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火药爆炸、放炮、物体打击、冒顶片帮</w:t>
            </w:r>
          </w:p>
        </w:tc>
      </w:tr>
      <w:tr w:rsidR="009A57A5">
        <w:trPr>
          <w:trHeight w:val="538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11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斜井开挖的爆破作业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火药爆炸、放炮、物体打击、冒顶片帮</w:t>
            </w:r>
          </w:p>
        </w:tc>
      </w:tr>
      <w:tr w:rsidR="009A57A5">
        <w:trPr>
          <w:trHeight w:val="462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12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竖井开挖的爆破作业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火药爆炸、放炮、物体打击、冒顶片帮</w:t>
            </w:r>
          </w:p>
        </w:tc>
      </w:tr>
      <w:tr w:rsidR="009A57A5">
        <w:trPr>
          <w:trHeight w:val="462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13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临近边坡的地下开挖爆破作业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火药爆炸、放炮、物体打击、坍塌</w:t>
            </w:r>
          </w:p>
        </w:tc>
      </w:tr>
      <w:tr w:rsidR="009A57A5">
        <w:trPr>
          <w:trHeight w:val="843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14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灌浆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工程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采用危险化学品进行化学灌浆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中毒或其他伤害</w:t>
            </w:r>
          </w:p>
        </w:tc>
      </w:tr>
      <w:tr w:rsidR="009A57A5">
        <w:trPr>
          <w:trHeight w:val="476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15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ind w:firstLineChars="100" w:firstLine="210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斜井、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竖井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开挖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提升系统行程大于</w:t>
            </w:r>
            <w:r>
              <w:rPr>
                <w:rFonts w:ascii="宋体" w:hAnsi="宋体" w:cs="宋体" w:hint="eastAsia"/>
                <w:kern w:val="0"/>
                <w:sz w:val="21"/>
              </w:rPr>
              <w:t>20m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高处坠落</w:t>
            </w:r>
          </w:p>
        </w:tc>
      </w:tr>
      <w:tr w:rsidR="009A57A5">
        <w:trPr>
          <w:trHeight w:val="453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16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大于</w:t>
            </w:r>
            <w:r>
              <w:rPr>
                <w:rFonts w:ascii="宋体" w:hAnsi="宋体" w:cs="宋体" w:hint="eastAsia"/>
                <w:kern w:val="0"/>
                <w:sz w:val="21"/>
              </w:rPr>
              <w:t>20m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（含）的沉井工程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物体打击、机械伤害</w:t>
            </w:r>
          </w:p>
        </w:tc>
      </w:tr>
      <w:tr w:rsidR="009A57A5">
        <w:trPr>
          <w:trHeight w:val="510"/>
          <w:jc w:val="center"/>
        </w:trPr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17</w:t>
            </w:r>
          </w:p>
        </w:tc>
        <w:tc>
          <w:tcPr>
            <w:tcW w:w="752" w:type="dxa"/>
            <w:vMerge/>
            <w:tcBorders>
              <w:bottom w:val="single" w:sz="4" w:space="0" w:color="auto"/>
            </w:tcBorders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混凝土生产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工程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制冷车间的液氨制冷系统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中毒、爆炸</w:t>
            </w:r>
          </w:p>
        </w:tc>
      </w:tr>
      <w:tr w:rsidR="009A57A5">
        <w:trPr>
          <w:trHeight w:val="723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lastRenderedPageBreak/>
              <w:t>序号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类别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项目</w:t>
            </w:r>
          </w:p>
        </w:tc>
        <w:tc>
          <w:tcPr>
            <w:tcW w:w="3772" w:type="dxa"/>
            <w:tcBorders>
              <w:left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重大危险源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可能导致的事故类型</w:t>
            </w:r>
          </w:p>
        </w:tc>
      </w:tr>
      <w:tr w:rsidR="009A57A5">
        <w:trPr>
          <w:trHeight w:val="680"/>
          <w:jc w:val="center"/>
        </w:trPr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18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施工作业类</w:t>
            </w: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脚手架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工程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搭设高度</w:t>
            </w:r>
            <w:r>
              <w:rPr>
                <w:rFonts w:ascii="宋体" w:hAnsi="宋体" w:cs="宋体" w:hint="eastAsia"/>
                <w:kern w:val="0"/>
                <w:sz w:val="21"/>
              </w:rPr>
              <w:t>24m</w:t>
            </w:r>
            <w:r>
              <w:rPr>
                <w:rFonts w:ascii="宋体" w:hAnsi="宋体" w:cs="宋体" w:hint="eastAsia"/>
                <w:kern w:val="0"/>
                <w:sz w:val="21"/>
              </w:rPr>
              <w:t>及以上的落地式钢管脚手架工程；附着式整体和分片提升脚手架工程；悬挑式脚手架工程；吊篮脚手架工程；新型及异型脚手架工程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坍塌、高处坠落、物体打击</w:t>
            </w:r>
          </w:p>
        </w:tc>
      </w:tr>
      <w:tr w:rsidR="009A57A5">
        <w:trPr>
          <w:trHeight w:val="43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19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模板工程及支撑体系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滑模、爬模、飞模工程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物体打击、高处坠落</w:t>
            </w:r>
          </w:p>
        </w:tc>
      </w:tr>
      <w:tr w:rsidR="009A57A5">
        <w:trPr>
          <w:trHeight w:val="68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20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搭设高度</w:t>
            </w:r>
            <w:r>
              <w:rPr>
                <w:rFonts w:ascii="宋体" w:hAnsi="宋体" w:cs="宋体" w:hint="eastAsia"/>
                <w:kern w:val="0"/>
                <w:sz w:val="21"/>
              </w:rPr>
              <w:t>5m</w:t>
            </w:r>
            <w:r>
              <w:rPr>
                <w:rFonts w:ascii="宋体" w:hAnsi="宋体" w:cs="宋体" w:hint="eastAsia"/>
                <w:kern w:val="0"/>
                <w:sz w:val="21"/>
              </w:rPr>
              <w:t>及以上；搭设跨度</w:t>
            </w:r>
            <w:r>
              <w:rPr>
                <w:rFonts w:ascii="宋体" w:hAnsi="宋体" w:cs="宋体" w:hint="eastAsia"/>
                <w:kern w:val="0"/>
                <w:sz w:val="21"/>
              </w:rPr>
              <w:t>10m</w:t>
            </w:r>
            <w:r>
              <w:rPr>
                <w:rFonts w:ascii="宋体" w:hAnsi="宋体" w:cs="宋体" w:hint="eastAsia"/>
                <w:kern w:val="0"/>
                <w:sz w:val="21"/>
              </w:rPr>
              <w:t>及以上；施工总荷载</w:t>
            </w:r>
            <w:r>
              <w:rPr>
                <w:rFonts w:ascii="宋体" w:hAnsi="宋体" w:cs="宋体" w:hint="eastAsia"/>
                <w:kern w:val="0"/>
                <w:sz w:val="21"/>
              </w:rPr>
              <w:t>10kN/m</w:t>
            </w:r>
            <w:r>
              <w:rPr>
                <w:rFonts w:ascii="宋体" w:hAnsi="宋体" w:cs="宋体" w:hint="eastAsia"/>
                <w:kern w:val="0"/>
                <w:sz w:val="21"/>
                <w:vertAlign w:val="superscript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及以上；集中线荷载</w:t>
            </w:r>
            <w:r>
              <w:rPr>
                <w:rFonts w:ascii="宋体" w:hAnsi="宋体" w:cs="宋体" w:hint="eastAsia"/>
                <w:kern w:val="0"/>
                <w:sz w:val="21"/>
              </w:rPr>
              <w:t>15kN/m</w:t>
            </w:r>
            <w:r>
              <w:rPr>
                <w:rFonts w:ascii="宋体" w:hAnsi="宋体" w:cs="宋体" w:hint="eastAsia"/>
                <w:kern w:val="0"/>
                <w:sz w:val="21"/>
              </w:rPr>
              <w:t>及以上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物体打击、高处坠落</w:t>
            </w:r>
          </w:p>
        </w:tc>
      </w:tr>
      <w:tr w:rsidR="009A57A5">
        <w:trPr>
          <w:trHeight w:val="587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21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用于钢结构安装等满堂支撑体系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物体打击、高处坠落</w:t>
            </w:r>
          </w:p>
        </w:tc>
      </w:tr>
      <w:tr w:rsidR="009A57A5">
        <w:trPr>
          <w:trHeight w:val="1068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22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金属结构制作、安装及机电设备安装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采用非常规起重设备、方法，且单件起吊重量在</w:t>
            </w:r>
            <w:r>
              <w:rPr>
                <w:rFonts w:ascii="宋体" w:hAnsi="宋体" w:cs="宋体" w:hint="eastAsia"/>
                <w:kern w:val="0"/>
                <w:sz w:val="21"/>
              </w:rPr>
              <w:t>10kN</w:t>
            </w:r>
            <w:r>
              <w:rPr>
                <w:rFonts w:ascii="宋体" w:hAnsi="宋体" w:cs="宋体" w:hint="eastAsia"/>
                <w:kern w:val="0"/>
                <w:sz w:val="21"/>
              </w:rPr>
              <w:t>及以上的起重吊装工程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机械伤害、高处坠落</w:t>
            </w:r>
          </w:p>
        </w:tc>
      </w:tr>
      <w:tr w:rsidR="009A57A5">
        <w:trPr>
          <w:trHeight w:val="98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使用易爆、有毒和易腐蚀的危险化学品进行作业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爆炸、中毒或其他伤害</w:t>
            </w:r>
          </w:p>
        </w:tc>
      </w:tr>
      <w:tr w:rsidR="009A57A5">
        <w:trPr>
          <w:trHeight w:val="68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建筑物拆除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工程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采取机械拆除，拆除高度大于</w:t>
            </w:r>
            <w:r>
              <w:rPr>
                <w:rFonts w:ascii="宋体" w:hAnsi="宋体" w:cs="宋体" w:hint="eastAsia"/>
                <w:kern w:val="0"/>
                <w:sz w:val="21"/>
              </w:rPr>
              <w:t>10m</w:t>
            </w:r>
            <w:r>
              <w:rPr>
                <w:rFonts w:ascii="宋体" w:hAnsi="宋体" w:cs="宋体" w:hint="eastAsia"/>
                <w:kern w:val="0"/>
                <w:sz w:val="21"/>
              </w:rPr>
              <w:t>；可能影响行人、交通、电力设施、通讯设施或其他建、构筑物安全的拆除作业；文物保护建筑、优秀历史建筑或历史文化风貌区控制范围的拆除作业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坍塌、物体打击、高处坠落、机械伤害</w:t>
            </w:r>
          </w:p>
        </w:tc>
      </w:tr>
      <w:tr w:rsidR="009A57A5">
        <w:trPr>
          <w:trHeight w:val="49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5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围堰拆除作业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</w:t>
            </w:r>
          </w:p>
        </w:tc>
      </w:tr>
      <w:tr w:rsidR="009A57A5">
        <w:trPr>
          <w:trHeight w:val="545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6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爆破拆除作业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爆炸、物体打击</w:t>
            </w:r>
          </w:p>
        </w:tc>
      </w:tr>
      <w:tr w:rsidR="009A57A5">
        <w:trPr>
          <w:trHeight w:val="54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7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降</w:t>
            </w:r>
            <w:r>
              <w:rPr>
                <w:rFonts w:ascii="宋体" w:hAnsi="宋体" w:cs="宋体" w:hint="eastAsia"/>
                <w:kern w:val="0"/>
                <w:sz w:val="21"/>
              </w:rPr>
              <w:t>排</w:t>
            </w:r>
            <w:r>
              <w:rPr>
                <w:rFonts w:ascii="宋体" w:hAnsi="宋体" w:cs="宋体" w:hint="eastAsia"/>
                <w:kern w:val="0"/>
                <w:sz w:val="21"/>
              </w:rPr>
              <w:t>水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降</w:t>
            </w:r>
            <w:r>
              <w:rPr>
                <w:rFonts w:ascii="宋体" w:hAnsi="宋体" w:cs="宋体" w:hint="eastAsia"/>
                <w:kern w:val="0"/>
                <w:sz w:val="21"/>
              </w:rPr>
              <w:t>排</w:t>
            </w:r>
            <w:r>
              <w:rPr>
                <w:rFonts w:ascii="宋体" w:hAnsi="宋体" w:cs="宋体" w:hint="eastAsia"/>
                <w:kern w:val="0"/>
                <w:sz w:val="21"/>
              </w:rPr>
              <w:t>水工程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淹溺</w:t>
            </w:r>
          </w:p>
        </w:tc>
      </w:tr>
      <w:tr w:rsidR="009A57A5">
        <w:trPr>
          <w:trHeight w:val="68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  <w:r>
              <w:rPr>
                <w:rFonts w:ascii="宋体" w:hAnsi="宋体" w:cs="宋体" w:hint="eastAsia"/>
                <w:kern w:val="0"/>
                <w:sz w:val="21"/>
              </w:rPr>
              <w:t>8</w:t>
            </w:r>
          </w:p>
        </w:tc>
        <w:tc>
          <w:tcPr>
            <w:tcW w:w="752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机械设备类</w:t>
            </w: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起重吊装及安装拆卸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snapToGrid w:val="0"/>
              <w:spacing w:line="240" w:lineRule="auto"/>
              <w:ind w:left="40"/>
              <w:jc w:val="lef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sz w:val="21"/>
              </w:rPr>
              <w:t>采用非常规起重设备</w:t>
            </w:r>
            <w:r>
              <w:rPr>
                <w:rFonts w:ascii="宋体" w:hAnsi="宋体" w:hint="eastAsia"/>
                <w:sz w:val="21"/>
              </w:rPr>
              <w:t>、</w:t>
            </w:r>
            <w:r>
              <w:rPr>
                <w:rFonts w:ascii="宋体" w:hAnsi="宋体"/>
                <w:sz w:val="21"/>
              </w:rPr>
              <w:t>方法</w:t>
            </w:r>
            <w:r>
              <w:rPr>
                <w:rFonts w:ascii="宋体" w:hAnsi="宋体" w:hint="eastAsia"/>
                <w:sz w:val="21"/>
              </w:rPr>
              <w:t>，</w:t>
            </w:r>
            <w:r>
              <w:rPr>
                <w:rFonts w:ascii="宋体" w:hAnsi="宋体"/>
                <w:sz w:val="21"/>
              </w:rPr>
              <w:t>且单件起吊重量在</w:t>
            </w:r>
            <w:r>
              <w:rPr>
                <w:rFonts w:ascii="宋体" w:hAnsi="宋体" w:cs="宋体" w:hint="eastAsia"/>
                <w:kern w:val="0"/>
                <w:sz w:val="21"/>
              </w:rPr>
              <w:t>10kN</w:t>
            </w:r>
            <w:r>
              <w:rPr>
                <w:rFonts w:ascii="宋体" w:hAnsi="宋体"/>
                <w:sz w:val="21"/>
              </w:rPr>
              <w:t>及以上的起重吊装工程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物体打击、机械伤害</w:t>
            </w:r>
          </w:p>
        </w:tc>
      </w:tr>
      <w:tr w:rsidR="009A57A5">
        <w:trPr>
          <w:trHeight w:val="68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29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/>
                <w:sz w:val="21"/>
              </w:rPr>
              <w:t>采用起重机械进行安装的工程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物体打击、起重伤害、高处坠落</w:t>
            </w:r>
          </w:p>
        </w:tc>
      </w:tr>
      <w:tr w:rsidR="009A57A5">
        <w:trPr>
          <w:trHeight w:val="680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30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/>
                <w:sz w:val="21"/>
              </w:rPr>
              <w:t>起重机械设备自身的安装</w:t>
            </w:r>
            <w:r>
              <w:rPr>
                <w:rFonts w:ascii="宋体" w:hAnsi="宋体"/>
                <w:noProof/>
                <w:sz w:val="21"/>
              </w:rPr>
              <w:drawing>
                <wp:inline distT="0" distB="0" distL="114300" distR="114300">
                  <wp:extent cx="36830" cy="34290"/>
                  <wp:effectExtent l="0" t="0" r="1270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" cy="3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 w:val="21"/>
              </w:rPr>
              <w:t xml:space="preserve"> </w:t>
            </w:r>
            <w:r>
              <w:rPr>
                <w:rFonts w:ascii="宋体" w:hAnsi="宋体"/>
                <w:sz w:val="21"/>
              </w:rPr>
              <w:t>拆卸作业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起重伤害</w:t>
            </w:r>
            <w:r>
              <w:rPr>
                <w:rFonts w:ascii="宋体" w:hAnsi="宋体" w:cs="宋体" w:hint="eastAsia"/>
                <w:kern w:val="0"/>
                <w:sz w:val="21"/>
              </w:rPr>
              <w:t>、</w:t>
            </w:r>
            <w:r>
              <w:rPr>
                <w:rFonts w:ascii="宋体" w:hAnsi="宋体" w:cs="宋体" w:hint="eastAsia"/>
                <w:kern w:val="0"/>
                <w:sz w:val="21"/>
              </w:rPr>
              <w:t>高处坠落、触电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pStyle w:val="a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31</w:t>
            </w:r>
          </w:p>
        </w:tc>
        <w:tc>
          <w:tcPr>
            <w:tcW w:w="752" w:type="dxa"/>
            <w:vMerge w:val="restart"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</w:pPr>
          </w:p>
          <w:p w:rsidR="009A57A5" w:rsidRDefault="009A57A5">
            <w:pPr>
              <w:widowControl/>
              <w:snapToGrid w:val="0"/>
              <w:spacing w:line="240" w:lineRule="auto"/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</w:pP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设施场所类</w:t>
            </w:r>
          </w:p>
          <w:p w:rsidR="009A57A5" w:rsidRDefault="009A57A5">
            <w:pPr>
              <w:pStyle w:val="a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pStyle w:val="a0"/>
              <w:snapToGrid w:val="0"/>
              <w:spacing w:line="240" w:lineRule="auto"/>
              <w:jc w:val="center"/>
              <w:rPr>
                <w:rFonts w:ascii="宋体" w:hAnsi="宋体" w:cs="宋体"/>
                <w:sz w:val="21"/>
              </w:rPr>
            </w:pP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</w:pPr>
          </w:p>
          <w:p w:rsidR="009A57A5" w:rsidRDefault="009A57A5">
            <w:pPr>
              <w:pStyle w:val="a0"/>
              <w:snapToGrid w:val="0"/>
              <w:spacing w:line="240" w:lineRule="auto"/>
              <w:ind w:firstLineChars="0" w:firstLine="0"/>
              <w:rPr>
                <w:rFonts w:ascii="宋体" w:hAnsi="宋体" w:cs="宋体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存弃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渣场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弃渣堆下方有生活区或办公区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32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基坑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开挖深度超过</w:t>
            </w:r>
            <w:r>
              <w:rPr>
                <w:rFonts w:ascii="宋体" w:hAnsi="宋体" w:cs="宋体" w:hint="eastAsia"/>
                <w:kern w:val="0"/>
                <w:sz w:val="21"/>
              </w:rPr>
              <w:t>5</w:t>
            </w:r>
            <w:r>
              <w:rPr>
                <w:rFonts w:ascii="宋体" w:hAnsi="宋体" w:cs="宋体" w:hint="eastAsia"/>
                <w:kern w:val="0"/>
                <w:sz w:val="21"/>
              </w:rPr>
              <w:t>m</w:t>
            </w:r>
            <w:r>
              <w:rPr>
                <w:rFonts w:ascii="宋体" w:hAnsi="宋体" w:cs="宋体" w:hint="eastAsia"/>
                <w:kern w:val="0"/>
                <w:sz w:val="21"/>
              </w:rPr>
              <w:t>（含）的深基坑作业，或开挖深度虽未超过</w:t>
            </w:r>
            <w:r>
              <w:rPr>
                <w:rFonts w:ascii="宋体" w:hAnsi="宋体" w:cs="宋体" w:hint="eastAsia"/>
                <w:kern w:val="0"/>
                <w:sz w:val="21"/>
              </w:rPr>
              <w:t>5</w:t>
            </w:r>
            <w:r>
              <w:rPr>
                <w:rFonts w:ascii="宋体" w:hAnsi="宋体" w:cs="宋体" w:hint="eastAsia"/>
                <w:kern w:val="0"/>
                <w:sz w:val="21"/>
              </w:rPr>
              <w:t>m</w:t>
            </w:r>
            <w:r>
              <w:rPr>
                <w:rFonts w:ascii="宋体" w:hAnsi="宋体" w:cs="宋体" w:hint="eastAsia"/>
                <w:kern w:val="0"/>
                <w:sz w:val="21"/>
              </w:rPr>
              <w:t>，但地质条件、周围环境和地下管线复杂，或影响毗邻建筑（构筑）物安全的深基坑作业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</w:t>
            </w:r>
            <w:r>
              <w:rPr>
                <w:rFonts w:ascii="宋体" w:hAnsi="宋体" w:cs="宋体" w:hint="eastAsia"/>
                <w:kern w:val="0"/>
                <w:sz w:val="21"/>
              </w:rPr>
              <w:t>、</w:t>
            </w:r>
            <w:r>
              <w:rPr>
                <w:rFonts w:ascii="宋体" w:hAnsi="宋体" w:cs="宋体" w:hint="eastAsia"/>
                <w:kern w:val="0"/>
                <w:sz w:val="21"/>
              </w:rPr>
              <w:t>高处坠落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33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油库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油罐区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参照《危险化学品重大危险源辨识》</w:t>
            </w:r>
            <w:r>
              <w:rPr>
                <w:rFonts w:ascii="宋体" w:hAnsi="宋体" w:cs="宋体" w:hint="eastAsia"/>
                <w:kern w:val="0"/>
                <w:sz w:val="21"/>
              </w:rPr>
              <w:t>(GB18218-2009)</w:t>
            </w:r>
            <w:r>
              <w:rPr>
                <w:rFonts w:ascii="宋体" w:hAnsi="宋体" w:cs="宋体" w:hint="eastAsia"/>
                <w:kern w:val="0"/>
                <w:sz w:val="21"/>
              </w:rPr>
              <w:t>标准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火灾、爆炸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材料设备仓库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参照《危险化学品重大危险源辨识》</w:t>
            </w:r>
            <w:r>
              <w:rPr>
                <w:rFonts w:ascii="宋体" w:hAnsi="宋体" w:cs="宋体" w:hint="eastAsia"/>
                <w:kern w:val="0"/>
                <w:sz w:val="21"/>
              </w:rPr>
              <w:t>(GB18218-2009)</w:t>
            </w:r>
            <w:r>
              <w:rPr>
                <w:rFonts w:ascii="宋体" w:hAnsi="宋体" w:cs="宋体" w:hint="eastAsia"/>
                <w:kern w:val="0"/>
                <w:sz w:val="21"/>
              </w:rPr>
              <w:t>标准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爆炸</w:t>
            </w:r>
          </w:p>
        </w:tc>
      </w:tr>
      <w:tr w:rsidR="009A57A5">
        <w:trPr>
          <w:trHeight w:val="671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lastRenderedPageBreak/>
              <w:t>序号</w:t>
            </w:r>
          </w:p>
        </w:tc>
        <w:tc>
          <w:tcPr>
            <w:tcW w:w="75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类别</w:t>
            </w: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项目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重大危险源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</w:rPr>
              <w:t>可能导致的事故类型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</w:rPr>
              <w:t>5</w:t>
            </w:r>
          </w:p>
        </w:tc>
        <w:tc>
          <w:tcPr>
            <w:tcW w:w="752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设施场所类</w:t>
            </w:r>
          </w:p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供电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系统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临时用电工程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触电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</w:rPr>
              <w:t>6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隧洞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浅埋隧洞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</w:rPr>
              <w:t>7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围堰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围堰工程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淹溺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  <w:r>
              <w:rPr>
                <w:rFonts w:ascii="宋体" w:hAnsi="宋体" w:cs="宋体" w:hint="eastAsia"/>
                <w:kern w:val="0"/>
                <w:sz w:val="21"/>
              </w:rPr>
              <w:t>8</w:t>
            </w:r>
          </w:p>
        </w:tc>
        <w:tc>
          <w:tcPr>
            <w:tcW w:w="752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作业</w:t>
            </w:r>
            <w:r>
              <w:rPr>
                <w:rFonts w:ascii="宋体" w:hAnsi="宋体" w:cs="宋体" w:hint="eastAsia"/>
                <w:kern w:val="0"/>
                <w:sz w:val="21"/>
              </w:rPr>
              <w:t>环境类</w:t>
            </w: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超标准洪水、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粉尘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超标准洪水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淹溺</w:t>
            </w:r>
            <w:r>
              <w:rPr>
                <w:rFonts w:ascii="宋体" w:hAnsi="宋体" w:cs="宋体" w:hint="eastAsia"/>
                <w:kern w:val="0"/>
                <w:sz w:val="21"/>
              </w:rPr>
              <w:t>、</w:t>
            </w:r>
            <w:r>
              <w:rPr>
                <w:rFonts w:ascii="宋体" w:hAnsi="宋体" w:cs="宋体" w:hint="eastAsia"/>
                <w:kern w:val="0"/>
                <w:sz w:val="21"/>
              </w:rPr>
              <w:t>火药爆炸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39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有毒有害气体及有毒化学品泄漏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环境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参照《危险化学品重大危险源辨识》</w:t>
            </w:r>
            <w:r>
              <w:rPr>
                <w:rFonts w:ascii="宋体" w:hAnsi="宋体" w:cs="宋体" w:hint="eastAsia"/>
                <w:kern w:val="0"/>
                <w:sz w:val="21"/>
              </w:rPr>
              <w:t>(GB18218-2009)</w:t>
            </w:r>
            <w:r>
              <w:rPr>
                <w:rFonts w:ascii="宋体" w:hAnsi="宋体" w:cs="宋体" w:hint="eastAsia"/>
                <w:kern w:val="0"/>
                <w:sz w:val="21"/>
              </w:rPr>
              <w:t>标准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中毒或其他伤害</w:t>
            </w:r>
          </w:p>
        </w:tc>
      </w:tr>
      <w:tr w:rsidR="009A57A5">
        <w:trPr>
          <w:trHeight w:val="624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  <w:r>
              <w:rPr>
                <w:rFonts w:ascii="宋体" w:hAnsi="宋体" w:cs="宋体" w:hint="eastAsia"/>
                <w:kern w:val="0"/>
                <w:sz w:val="21"/>
              </w:rPr>
              <w:t>0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参照《危险化学品重大危险源辨识》</w:t>
            </w:r>
            <w:r>
              <w:rPr>
                <w:rFonts w:ascii="宋体" w:hAnsi="宋体" w:cs="宋体" w:hint="eastAsia"/>
                <w:kern w:val="0"/>
                <w:sz w:val="21"/>
              </w:rPr>
              <w:t>(GB18218-2009)</w:t>
            </w:r>
            <w:r>
              <w:rPr>
                <w:rFonts w:ascii="宋体" w:hAnsi="宋体" w:cs="宋体" w:hint="eastAsia"/>
                <w:kern w:val="0"/>
                <w:sz w:val="21"/>
              </w:rPr>
              <w:t>标准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中毒或其他伤害</w:t>
            </w:r>
          </w:p>
        </w:tc>
      </w:tr>
      <w:tr w:rsidR="009A57A5">
        <w:trPr>
          <w:trHeight w:val="935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  <w:r>
              <w:rPr>
                <w:rFonts w:ascii="宋体" w:hAnsi="宋体" w:cs="宋体" w:hint="eastAsia"/>
                <w:kern w:val="0"/>
                <w:sz w:val="21"/>
              </w:rPr>
              <w:t>1</w:t>
            </w:r>
          </w:p>
        </w:tc>
        <w:tc>
          <w:tcPr>
            <w:tcW w:w="752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其他</w:t>
            </w:r>
          </w:p>
        </w:tc>
        <w:tc>
          <w:tcPr>
            <w:tcW w:w="1039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营地</w:t>
            </w:r>
          </w:p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选址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施工驻地及场站设置在可能发生滑坡、塌方、泥石流、崩塌、落石、洪水、雪崩等的危险区域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坍塌、淹溺、物体打击</w:t>
            </w:r>
          </w:p>
        </w:tc>
      </w:tr>
      <w:tr w:rsidR="009A57A5">
        <w:trPr>
          <w:trHeight w:val="686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  <w:r>
              <w:rPr>
                <w:rFonts w:ascii="宋体" w:hAnsi="宋体" w:cs="宋体" w:hint="eastAsia"/>
                <w:kern w:val="0"/>
                <w:sz w:val="21"/>
              </w:rPr>
              <w:t>2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其他单项工程</w:t>
            </w: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采用新技术、新工艺、新材料、新设备的危险性较大的单项工程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</w:t>
            </w:r>
          </w:p>
        </w:tc>
      </w:tr>
      <w:tr w:rsidR="009A57A5">
        <w:trPr>
          <w:trHeight w:val="667"/>
          <w:jc w:val="center"/>
        </w:trPr>
        <w:tc>
          <w:tcPr>
            <w:tcW w:w="688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4</w:t>
            </w:r>
            <w:r>
              <w:rPr>
                <w:rFonts w:ascii="宋体" w:hAnsi="宋体" w:cs="宋体" w:hint="eastAsia"/>
                <w:kern w:val="0"/>
                <w:sz w:val="21"/>
              </w:rPr>
              <w:t>3</w:t>
            </w:r>
          </w:p>
        </w:tc>
        <w:tc>
          <w:tcPr>
            <w:tcW w:w="752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1039" w:type="dxa"/>
            <w:vMerge/>
            <w:vAlign w:val="center"/>
          </w:tcPr>
          <w:p w:rsidR="009A57A5" w:rsidRDefault="009A57A5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</w:p>
        </w:tc>
        <w:tc>
          <w:tcPr>
            <w:tcW w:w="3772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left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尚无相关技术标准的危险性较大的单项工程</w:t>
            </w:r>
          </w:p>
        </w:tc>
        <w:tc>
          <w:tcPr>
            <w:tcW w:w="2260" w:type="dxa"/>
            <w:vAlign w:val="center"/>
          </w:tcPr>
          <w:p w:rsidR="009A57A5" w:rsidRDefault="00247DE8">
            <w:pPr>
              <w:widowControl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</w:rPr>
            </w:pPr>
            <w:r>
              <w:rPr>
                <w:rFonts w:ascii="宋体" w:hAnsi="宋体" w:cs="宋体" w:hint="eastAsia"/>
                <w:kern w:val="0"/>
                <w:sz w:val="21"/>
              </w:rPr>
              <w:t>坍塌</w:t>
            </w:r>
          </w:p>
        </w:tc>
      </w:tr>
    </w:tbl>
    <w:p w:rsidR="009A57A5" w:rsidRDefault="009A57A5"/>
    <w:p w:rsidR="009A57A5" w:rsidRDefault="009A57A5"/>
    <w:sectPr w:rsidR="009A57A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DE8" w:rsidRDefault="00247DE8">
      <w:pPr>
        <w:spacing w:line="240" w:lineRule="auto"/>
      </w:pPr>
      <w:r>
        <w:separator/>
      </w:r>
    </w:p>
  </w:endnote>
  <w:endnote w:type="continuationSeparator" w:id="0">
    <w:p w:rsidR="00247DE8" w:rsidRDefault="00247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7A5" w:rsidRDefault="00247DE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57A5" w:rsidRDefault="00247DE8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B2D4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A57A5" w:rsidRDefault="00247DE8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B2D42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DE8" w:rsidRDefault="00247DE8">
      <w:pPr>
        <w:spacing w:line="240" w:lineRule="auto"/>
      </w:pPr>
      <w:r>
        <w:separator/>
      </w:r>
    </w:p>
  </w:footnote>
  <w:footnote w:type="continuationSeparator" w:id="0">
    <w:p w:rsidR="00247DE8" w:rsidRDefault="00247D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8B501B"/>
    <w:rsid w:val="00247DE8"/>
    <w:rsid w:val="003B2D42"/>
    <w:rsid w:val="009A57A5"/>
    <w:rsid w:val="01EE2E2C"/>
    <w:rsid w:val="02A974F1"/>
    <w:rsid w:val="13511F16"/>
    <w:rsid w:val="22EF6D74"/>
    <w:rsid w:val="25C91327"/>
    <w:rsid w:val="268B5CD4"/>
    <w:rsid w:val="2A5077F1"/>
    <w:rsid w:val="2E25550E"/>
    <w:rsid w:val="2FDA06AC"/>
    <w:rsid w:val="36C27423"/>
    <w:rsid w:val="3E447161"/>
    <w:rsid w:val="440B6D39"/>
    <w:rsid w:val="442F6FA4"/>
    <w:rsid w:val="453073F4"/>
    <w:rsid w:val="508B501B"/>
    <w:rsid w:val="5E280C79"/>
    <w:rsid w:val="6AD50A6B"/>
    <w:rsid w:val="6D535020"/>
    <w:rsid w:val="73E2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22BC55-2928-4CB5-A310-107F4AC9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400" w:lineRule="exact"/>
      <w:jc w:val="both"/>
    </w:pPr>
    <w:rPr>
      <w:kern w:val="2"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  <w:rPr>
      <w:kern w:val="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a6">
    <w:name w:val="FollowedHyperlink"/>
    <w:basedOn w:val="a1"/>
    <w:qFormat/>
    <w:rPr>
      <w:color w:val="800080"/>
      <w:u w:val="single"/>
    </w:rPr>
  </w:style>
  <w:style w:type="character" w:styleId="a7">
    <w:name w:val="Hyperlink"/>
    <w:basedOn w:val="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3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justbehappy</dc:creator>
  <cp:lastModifiedBy>app</cp:lastModifiedBy>
  <cp:revision>2</cp:revision>
  <cp:lastPrinted>2018-12-07T02:32:00Z</cp:lastPrinted>
  <dcterms:created xsi:type="dcterms:W3CDTF">2020-12-18T10:08:00Z</dcterms:created>
  <dcterms:modified xsi:type="dcterms:W3CDTF">2020-12-18T10:08:00Z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