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F34" w:rsidRDefault="008E1178">
      <w:pPr>
        <w:pStyle w:val="a0"/>
        <w:spacing w:line="360" w:lineRule="auto"/>
        <w:ind w:firstLineChars="0" w:firstLine="0"/>
        <w:jc w:val="left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附件</w:t>
      </w:r>
      <w:r>
        <w:rPr>
          <w:rFonts w:ascii="黑体" w:eastAsia="黑体" w:hAnsi="黑体" w:cs="黑体" w:hint="eastAsia"/>
          <w:b/>
          <w:sz w:val="28"/>
          <w:szCs w:val="28"/>
        </w:rPr>
        <w:t>3</w:t>
      </w:r>
    </w:p>
    <w:p w:rsidR="00FC2F34" w:rsidRDefault="008E1178">
      <w:pPr>
        <w:pStyle w:val="a0"/>
        <w:adjustRightInd w:val="0"/>
        <w:snapToGrid w:val="0"/>
        <w:spacing w:afterLines="50" w:after="159" w:line="360" w:lineRule="auto"/>
        <w:ind w:firstLine="562"/>
        <w:jc w:val="center"/>
        <w:rPr>
          <w:rFonts w:ascii="黑体" w:eastAsia="黑体" w:hAnsi="黑体" w:cs="黑体"/>
          <w:b/>
          <w:sz w:val="28"/>
          <w:szCs w:val="28"/>
        </w:rPr>
      </w:pPr>
      <w:bookmarkStart w:id="0" w:name="_GoBack"/>
      <w:r>
        <w:rPr>
          <w:rFonts w:ascii="黑体" w:eastAsia="黑体" w:hAnsi="黑体" w:cs="黑体" w:hint="eastAsia"/>
          <w:b/>
          <w:sz w:val="28"/>
          <w:szCs w:val="28"/>
        </w:rPr>
        <w:t>水利水电工程施工一般危险源</w:t>
      </w:r>
      <w:r>
        <w:rPr>
          <w:rFonts w:ascii="黑体" w:eastAsia="黑体" w:hAnsi="黑体" w:cs="黑体" w:hint="eastAsia"/>
          <w:b/>
          <w:sz w:val="28"/>
          <w:szCs w:val="28"/>
        </w:rPr>
        <w:t>LEC</w:t>
      </w:r>
      <w:r>
        <w:rPr>
          <w:rFonts w:ascii="黑体" w:eastAsia="黑体" w:hAnsi="黑体" w:cs="黑体" w:hint="eastAsia"/>
          <w:b/>
          <w:sz w:val="28"/>
          <w:szCs w:val="28"/>
        </w:rPr>
        <w:t>法风险评价赋分表</w:t>
      </w:r>
      <w:r>
        <w:rPr>
          <w:rFonts w:ascii="黑体" w:eastAsia="黑体" w:hAnsi="黑体" w:cs="黑体" w:hint="eastAsia"/>
          <w:b/>
          <w:sz w:val="28"/>
          <w:szCs w:val="28"/>
        </w:rPr>
        <w:t>（指南）</w:t>
      </w:r>
      <w:bookmarkEnd w:id="0"/>
    </w:p>
    <w:p w:rsidR="00FC2F34" w:rsidRDefault="008E1178">
      <w:pPr>
        <w:pStyle w:val="a0"/>
        <w:adjustRightInd w:val="0"/>
        <w:snapToGrid w:val="0"/>
        <w:spacing w:afterLines="50" w:after="159" w:line="360" w:lineRule="auto"/>
        <w:ind w:firstLine="560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67945</wp:posOffset>
                </wp:positionV>
                <wp:extent cx="2484120" cy="354965"/>
                <wp:effectExtent l="4445" t="4445" r="13335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57795" y="465455"/>
                          <a:ext cx="2484120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F34" w:rsidRDefault="008E1178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2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  <w:szCs w:val="2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可理解为一般危险源清单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07.15pt;margin-top:5.35pt;width:195.6pt;height:2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" fillcolor="white [3201]" strokeweight=".5pt">
                <v:textbox>
                  <w:txbxContent>
                    <w:p w:rsidR="00FC2F34" w:rsidRDefault="008E1178">
                      <w:pPr>
                        <w:rPr>
                          <w:b/>
                          <w:bCs/>
                          <w:color w:val="FF0000"/>
                          <w:sz w:val="32"/>
                          <w:szCs w:val="2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  <w:szCs w:val="2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可理解为一般危险源清单</w:t>
                      </w:r>
                    </w:p>
                  </w:txbxContent>
                </v:textbox>
              </v:shape>
            </w:pict>
          </mc:Fallback>
        </mc:AlternateContent>
      </w:r>
    </w:p>
    <w:p w:rsidR="00FC2F34" w:rsidRDefault="008E1178">
      <w:pPr>
        <w:pStyle w:val="a0"/>
        <w:adjustRightInd w:val="0"/>
        <w:snapToGrid w:val="0"/>
        <w:spacing w:afterLines="50" w:after="159" w:line="360" w:lineRule="auto"/>
        <w:ind w:firstLine="560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-2496185</wp:posOffset>
                </wp:positionV>
                <wp:extent cx="263525" cy="5462905"/>
                <wp:effectExtent l="12700" t="88900" r="23495" b="3175"/>
                <wp:wrapNone/>
                <wp:docPr id="2" name="右大括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1391920" y="1112520"/>
                          <a:ext cx="263525" cy="5462905"/>
                        </a:xfrm>
                        <a:prstGeom prst="rightBrace">
                          <a:avLst>
                            <a:gd name="adj1" fmla="val 8333"/>
                            <a:gd name="adj2" fmla="val 48236"/>
                          </a:avLst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FC2F34" w:rsidRDefault="00FC2F34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2" o:spid="_x0000_s1027" type="#_x0000_t88" style="position:absolute;left:0;text-align:left;margin-left:200.85pt;margin-top:-196.55pt;width:20.75pt;height:430.15pt;rotation:-9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" adj="87,10419" strokecolor="red" strokeweight="2pt">
                <v:stroke joinstyle="miter"/>
                <v:textbox>
                  <w:txbxContent>
                    <w:p w:rsidR="00FC2F34" w:rsidRDefault="00FC2F3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41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734"/>
        <w:gridCol w:w="1079"/>
        <w:gridCol w:w="2100"/>
        <w:gridCol w:w="4169"/>
        <w:gridCol w:w="962"/>
        <w:gridCol w:w="1035"/>
        <w:gridCol w:w="1140"/>
        <w:gridCol w:w="1035"/>
        <w:gridCol w:w="1335"/>
      </w:tblGrid>
      <w:tr w:rsidR="00FC2F34">
        <w:trPr>
          <w:trHeight w:val="532"/>
          <w:tblHeader/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类别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危险源</w:t>
            </w: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一般危险源</w:t>
            </w:r>
          </w:p>
        </w:tc>
        <w:tc>
          <w:tcPr>
            <w:tcW w:w="41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LEC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法取值范围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风险等级范围</w:t>
            </w:r>
          </w:p>
        </w:tc>
      </w:tr>
      <w:tr w:rsidR="00FC2F34">
        <w:trPr>
          <w:trHeight w:val="90"/>
          <w:tblHeader/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left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4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L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C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D</w:t>
            </w: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</w:tr>
      <w:tr w:rsidR="00FC2F34">
        <w:trPr>
          <w:trHeight w:val="53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作业类</w:t>
            </w: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作业类</w:t>
            </w: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作业类</w:t>
            </w:r>
          </w:p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作业类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明挖施工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有堆渣的挖掘作业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堆渣高度小于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的挖掘作业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5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土方边坡开挖作业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土方边坡高度小于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30m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的开挖作业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石方边坡开挖作业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石方边坡高度小于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50m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的开挖作业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111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洞挖施工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洞室开挖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Style w:val="font11"/>
                <w:b/>
                <w:color w:val="auto"/>
              </w:rPr>
              <w:t>断面小于</w:t>
            </w:r>
            <w:r>
              <w:rPr>
                <w:rStyle w:val="font11"/>
                <w:b/>
                <w:color w:val="auto"/>
              </w:rPr>
              <w:t>20m</w:t>
            </w:r>
            <w:r>
              <w:rPr>
                <w:rStyle w:val="font01"/>
                <w:b/>
                <w:color w:val="auto"/>
              </w:rPr>
              <w:t>2</w:t>
            </w:r>
            <w:r>
              <w:rPr>
                <w:rStyle w:val="font11"/>
                <w:b/>
                <w:color w:val="auto"/>
              </w:rPr>
              <w:t>或单洞长度小于</w:t>
            </w:r>
            <w:r>
              <w:rPr>
                <w:rStyle w:val="font11"/>
                <w:b/>
                <w:color w:val="auto"/>
              </w:rPr>
              <w:t>50m</w:t>
            </w:r>
            <w:r>
              <w:rPr>
                <w:rStyle w:val="font11"/>
                <w:b/>
                <w:color w:val="auto"/>
              </w:rPr>
              <w:t>以及非地质缺陷开挖；地应力小于</w:t>
            </w:r>
            <w:r>
              <w:rPr>
                <w:rStyle w:val="font11"/>
                <w:b/>
                <w:color w:val="auto"/>
              </w:rPr>
              <w:t>20MPa</w:t>
            </w:r>
            <w:r>
              <w:rPr>
                <w:rStyle w:val="font11"/>
                <w:b/>
                <w:color w:val="auto"/>
              </w:rPr>
              <w:t>或小于岩石强度的</w:t>
            </w:r>
            <w:r>
              <w:rPr>
                <w:rStyle w:val="font11"/>
                <w:b/>
                <w:color w:val="auto"/>
              </w:rPr>
              <w:t>1/5</w:t>
            </w:r>
            <w:r>
              <w:rPr>
                <w:rStyle w:val="font11"/>
                <w:b/>
                <w:color w:val="auto"/>
              </w:rPr>
              <w:t>或埋深小于</w:t>
            </w:r>
            <w:r>
              <w:rPr>
                <w:rStyle w:val="font11"/>
                <w:b/>
                <w:color w:val="auto"/>
              </w:rPr>
              <w:t>500m</w:t>
            </w:r>
            <w:r>
              <w:rPr>
                <w:rStyle w:val="font11"/>
                <w:b/>
                <w:color w:val="auto"/>
              </w:rPr>
              <w:t>部位的作业；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  <w:lang w:bidi="ar"/>
              </w:rPr>
              <w:t>非重大风险源所列内容的普通洞挖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2400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7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洞室支护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能及时支护的部位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3.6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1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石方爆破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石方明挖的爆破作业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一次装药量小于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k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g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的爆破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60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石方洞挖的爆破作业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一次装药量小于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50k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g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的地下爆破；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  <w:lang w:bidi="ar"/>
              </w:rPr>
              <w:t>非重大风险源所列内容的普通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爆破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1440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8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填筑工程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截流工程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截流工程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4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堤防工程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堤防工程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1.2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50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大坝工程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大坝工程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3600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70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灌浆工程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采用危险化学品进行化学灌浆；廊道内灌浆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非采用危险化学品进行化学灌浆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廊道内灌浆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67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灌注桩施工，旋挖桩施工，防渗墙施工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灌注桩施工，旋挖桩施工，防渗墙施工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3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13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斜井、竖井开挖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井筒衬砌部分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井筒衬砌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60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14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竖井提升设施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提升系统行程小于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3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15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斜井开挖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斜井开挖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45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16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竖井开挖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竖井开挖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49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17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沉井工程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20m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的沉井工程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27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18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天锚或地锚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天锚或地锚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48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19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砂石料生产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砂石料破碎机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砂石料破碎机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</w:t>
            </w:r>
          </w:p>
        </w:tc>
      </w:tr>
      <w:tr w:rsidR="00FC2F34">
        <w:trPr>
          <w:trHeight w:val="527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混凝土生产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混凝土拌合楼（系统）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混凝土拌合楼（系统）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73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混凝土浇筑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利用缆机、塔带机或门机浇筑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利用缆机、塔带机或门机浇筑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52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22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浇筑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浇筑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8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23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脚手架工程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脚手架工程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搭设高度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24m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以下的落地式钢管脚手架工程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1440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52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24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自制卸料平台、移动操作平台工程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自制卸料平台、移动操作平台工程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1440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25</w:t>
            </w:r>
          </w:p>
          <w:tbl>
            <w:tblPr>
              <w:tblW w:w="700" w:type="dxa"/>
              <w:tblInd w:w="6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0"/>
            </w:tblGrid>
            <w:tr w:rsidR="00FC2F34">
              <w:trPr>
                <w:trHeight w:val="30"/>
              </w:trPr>
              <w:tc>
                <w:tcPr>
                  <w:tcW w:w="700" w:type="dxa"/>
                </w:tcPr>
                <w:p w:rsidR="00FC2F34" w:rsidRDefault="00FC2F34">
                  <w:pPr>
                    <w:widowControl/>
                    <w:snapToGrid w:val="0"/>
                    <w:spacing w:line="240" w:lineRule="auto"/>
                    <w:jc w:val="center"/>
                    <w:textAlignment w:val="center"/>
                    <w:rPr>
                      <w:rFonts w:ascii="宋体" w:hAnsi="宋体" w:cs="宋体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C2F34" w:rsidRDefault="00FC2F34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模板工程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模板拆除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模板拆除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3.6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95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26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模板支撑工程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搭设高度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以下；搭设跨度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以下；施工总荷载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10kN/m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以下；集中线荷载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15kN/m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以下；其他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  <w:lang w:bidi="ar"/>
              </w:rPr>
              <w:t>非重大风险源所列内容的普通模板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59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27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钢筋工程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运输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运输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46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28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焊接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焊接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1.8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2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29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金属结构制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lastRenderedPageBreak/>
              <w:t>作、安装及机电设备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安装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lastRenderedPageBreak/>
              <w:t>金属结构制造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金属结构制造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741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金属结构安装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采用常规起重设备、方法，或单件起吊重量在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10kN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以下的起重吊装工程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72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水轮机及发电机安装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采用常规起重设备、方法，或单件起吊重量在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10kN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以下的起重吊装工程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0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高空作业及上下交叉作业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高空作业及上下交叉作业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2400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6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33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建筑物拆除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一般建筑物拆除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采取机械拆除，拆除高度小于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；其他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  <w:lang w:bidi="ar"/>
              </w:rPr>
              <w:t>非重大风险源所列内容的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一般建筑物拆除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34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配套电网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工程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组立或整修杆塔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组立或整修杆塔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0.75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4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35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电线杆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电线杆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0.75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9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36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降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排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水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降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排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水期间影响范围内的建筑物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降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排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水期间影响范围内的建筑物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40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37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降水井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降水井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</w:t>
            </w:r>
          </w:p>
        </w:tc>
      </w:tr>
      <w:tr w:rsidR="00FC2F34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38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水上（下）作业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工程船舶改造、船舶与陆用设备组合作业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工程船舶改造、船舶与陆用设备组合作业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0.5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4.5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454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39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水下焊接、爆破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水下焊接、爆破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0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潜水作业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潜水作业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4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有限空间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顶管作业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顶管作业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343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42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人工挖孔桩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人工挖孔桩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31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43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管道安装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管道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管道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2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44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机械</w:t>
            </w:r>
          </w:p>
          <w:p w:rsidR="00FC2F34" w:rsidRDefault="008E1178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设备类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lastRenderedPageBreak/>
              <w:t>运输车辆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运输车辆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运输车辆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2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特种设备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大型施工机械的安装、运行及拆卸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大型施工机械的安装、运行及拆卸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37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压力容器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压力容器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36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47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锅炉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锅炉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8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48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起重设备安装、拆卸及吊装作业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起重机械设备自身的安装、拆卸作业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采用常规起重设备、方法，且单件起吊重量在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10kN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以下的起重吊装工程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5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49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设施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场所类</w:t>
            </w: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="402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Chars="0" w:firstLine="0"/>
              <w:jc w:val="center"/>
              <w:rPr>
                <w:rFonts w:ascii="宋体" w:hAnsi="宋体" w:cs="宋体"/>
                <w:b/>
                <w:kern w:val="2"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Chars="0" w:firstLine="0"/>
              <w:jc w:val="center"/>
              <w:rPr>
                <w:rFonts w:ascii="宋体" w:hAnsi="宋体" w:cs="宋体"/>
                <w:b/>
                <w:kern w:val="2"/>
                <w:sz w:val="20"/>
                <w:szCs w:val="20"/>
              </w:rPr>
            </w:pPr>
          </w:p>
          <w:p w:rsidR="00FC2F34" w:rsidRDefault="00FC2F34">
            <w:pPr>
              <w:pStyle w:val="a0"/>
              <w:ind w:firstLineChars="0" w:firstLine="0"/>
              <w:jc w:val="center"/>
              <w:rPr>
                <w:rFonts w:ascii="宋体" w:hAnsi="宋体" w:cs="宋体"/>
                <w:b/>
                <w:kern w:val="2"/>
                <w:sz w:val="20"/>
                <w:szCs w:val="20"/>
              </w:rPr>
            </w:pPr>
          </w:p>
          <w:p w:rsidR="00FC2F34" w:rsidRDefault="008E1178">
            <w:pPr>
              <w:pStyle w:val="a0"/>
              <w:ind w:firstLineChars="0" w:firstLine="0"/>
              <w:jc w:val="center"/>
              <w:rPr>
                <w:rFonts w:ascii="宋体" w:hAnsi="宋体" w:cs="宋体"/>
                <w:b/>
                <w:kern w:val="2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2"/>
                <w:sz w:val="20"/>
                <w:szCs w:val="20"/>
              </w:rPr>
              <w:t>设施</w:t>
            </w:r>
          </w:p>
          <w:p w:rsidR="00FC2F34" w:rsidRDefault="008E1178">
            <w:pPr>
              <w:pStyle w:val="a0"/>
              <w:ind w:firstLineChars="0" w:firstLine="0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2"/>
                <w:sz w:val="20"/>
                <w:szCs w:val="20"/>
              </w:rPr>
              <w:t>场所类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lastRenderedPageBreak/>
              <w:t>存弃渣场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弃渣堆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普通弃渣堆，下方无人作业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44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基坑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基坑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开挖深度未超过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m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的普通作业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81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油库、油罐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汽油、柴油等油品储存区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储存量低于临界量的汽油、柴油等</w:t>
            </w:r>
          </w:p>
        </w:tc>
        <w:tc>
          <w:tcPr>
            <w:tcW w:w="55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参照《危险化学品重大危险源辨识》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(GB18218-2009)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标准</w:t>
            </w:r>
          </w:p>
        </w:tc>
      </w:tr>
      <w:tr w:rsidR="00FC2F34">
        <w:trPr>
          <w:trHeight w:val="59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52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危险化学品仓库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乙炔等危险化学品储存区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储存量低于临界量的乙炔等危险化学品</w:t>
            </w:r>
          </w:p>
        </w:tc>
        <w:tc>
          <w:tcPr>
            <w:tcW w:w="550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参照《危险化学品重大危险源辨识》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(GB18218-2009)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标准</w:t>
            </w:r>
          </w:p>
        </w:tc>
      </w:tr>
      <w:tr w:rsidR="00FC2F34">
        <w:trPr>
          <w:trHeight w:val="57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53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供水系统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输水主干管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输水管道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～较大</w:t>
            </w:r>
          </w:p>
        </w:tc>
      </w:tr>
      <w:tr w:rsidR="00FC2F34">
        <w:trPr>
          <w:trHeight w:val="7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54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利用液氯进行消毒和用盐酸进行污水处理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利用液氯进行消毒和用盐酸进行污水处理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529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55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高位水池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高位水池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一般～重大</w:t>
            </w:r>
          </w:p>
        </w:tc>
      </w:tr>
      <w:tr w:rsidR="00FC2F34">
        <w:trPr>
          <w:trHeight w:val="6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56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通风系统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空压机房、供风管路等设施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空压机房、供风管路等设施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52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57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储气罐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储气罐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低～较大</w:t>
            </w:r>
          </w:p>
        </w:tc>
      </w:tr>
      <w:tr w:rsidR="00FC2F34">
        <w:trPr>
          <w:trHeight w:val="52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供电系统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变压器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变压器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1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59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变电站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变电站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4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高压电缆或高压线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高压电缆或高压线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420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89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修理厂、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钢筋厂、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模具厂等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加工机械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加工机械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64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62</w:t>
            </w:r>
          </w:p>
        </w:tc>
        <w:tc>
          <w:tcPr>
            <w:tcW w:w="7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预制构件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场所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预制构件制作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预制构件制作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61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63</w:t>
            </w:r>
          </w:p>
        </w:tc>
        <w:tc>
          <w:tcPr>
            <w:tcW w:w="7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施工道路、桥梁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车辆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车辆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2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64</w:t>
            </w:r>
          </w:p>
        </w:tc>
        <w:tc>
          <w:tcPr>
            <w:tcW w:w="7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隧洞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甲烷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甲烷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41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65</w:t>
            </w:r>
          </w:p>
        </w:tc>
        <w:tc>
          <w:tcPr>
            <w:tcW w:w="7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有毒气体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有毒气体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6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66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环境类</w:t>
            </w:r>
          </w:p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不良地质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地段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不良地质地段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不良地质地段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5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67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潜在滑坡区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潜在滑坡区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潜在滑坡区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900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低～重大</w:t>
            </w:r>
          </w:p>
        </w:tc>
      </w:tr>
      <w:tr w:rsidR="00FC2F34">
        <w:trPr>
          <w:trHeight w:val="54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lastRenderedPageBreak/>
              <w:t>68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粉尘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粉尘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7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69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野外有毒有害气体及有毒化学品</w:t>
            </w:r>
          </w:p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泄漏环境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野外有毒有害气体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野外有毒有害气体</w:t>
            </w:r>
          </w:p>
        </w:tc>
        <w:tc>
          <w:tcPr>
            <w:tcW w:w="550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参照《危险化学品重大危险源辨识》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(GB18218-2009)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标准</w:t>
            </w:r>
          </w:p>
        </w:tc>
      </w:tr>
      <w:tr w:rsidR="00FC2F34">
        <w:trPr>
          <w:trHeight w:val="614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危险化学品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危险化学品</w:t>
            </w:r>
          </w:p>
        </w:tc>
        <w:tc>
          <w:tcPr>
            <w:tcW w:w="5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参照《危险化学品重大危险源辨识》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(GB18218-2009)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标准</w:t>
            </w:r>
          </w:p>
        </w:tc>
      </w:tr>
      <w:tr w:rsidR="00FC2F34">
        <w:trPr>
          <w:trHeight w:val="66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71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具有危险性的动、植物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具有危险性的动、植物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具有危险性的动、植物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1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72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其他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野外施工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高压线或不明管道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高压线或不明管道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677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73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施工过程使用的临时、永久道路，桥梁、隧洞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施工过程使用的临时、永久道路，桥梁、隧洞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74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施工期地质勘探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施工期地质勘探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7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75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消防安全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可燃物的堆放与使用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可燃物的堆放与使用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  <w:tr w:rsidR="00FC2F34">
        <w:trPr>
          <w:trHeight w:val="55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sz w:val="20"/>
                <w:szCs w:val="20"/>
              </w:rPr>
              <w:t>76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FC2F34">
            <w:pPr>
              <w:snapToGrid w:val="0"/>
              <w:spacing w:line="240" w:lineRule="auto"/>
              <w:jc w:val="center"/>
              <w:rPr>
                <w:rFonts w:ascii="宋体" w:hAnsi="宋体" w:cs="宋体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生活区用电、明火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生活区用电、明火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F34" w:rsidRDefault="008E1178">
            <w:pPr>
              <w:snapToGrid w:val="0"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低～一般</w:t>
            </w:r>
          </w:p>
        </w:tc>
      </w:tr>
    </w:tbl>
    <w:p w:rsidR="00FC2F34" w:rsidRDefault="00FC2F34"/>
    <w:sectPr w:rsidR="00FC2F34">
      <w:footerReference w:type="default" r:id="rId7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178" w:rsidRDefault="008E1178">
      <w:pPr>
        <w:spacing w:line="240" w:lineRule="auto"/>
      </w:pPr>
      <w:r>
        <w:separator/>
      </w:r>
    </w:p>
  </w:endnote>
  <w:endnote w:type="continuationSeparator" w:id="0">
    <w:p w:rsidR="008E1178" w:rsidRDefault="008E1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F34" w:rsidRDefault="008E117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2F34" w:rsidRDefault="008E1178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A5D8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C2F34" w:rsidRDefault="008E1178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A5D82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178" w:rsidRDefault="008E1178">
      <w:pPr>
        <w:spacing w:line="240" w:lineRule="auto"/>
      </w:pPr>
      <w:r>
        <w:separator/>
      </w:r>
    </w:p>
  </w:footnote>
  <w:footnote w:type="continuationSeparator" w:id="0">
    <w:p w:rsidR="008E1178" w:rsidRDefault="008E11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840035"/>
    <w:rsid w:val="008A5D82"/>
    <w:rsid w:val="008E1178"/>
    <w:rsid w:val="00FC2F34"/>
    <w:rsid w:val="02D92B08"/>
    <w:rsid w:val="07AC2226"/>
    <w:rsid w:val="095D03A5"/>
    <w:rsid w:val="0E123F77"/>
    <w:rsid w:val="39895B3B"/>
    <w:rsid w:val="3E1333A8"/>
    <w:rsid w:val="53C43BC1"/>
    <w:rsid w:val="59840035"/>
    <w:rsid w:val="6544455F"/>
    <w:rsid w:val="68967CE3"/>
    <w:rsid w:val="6D535020"/>
    <w:rsid w:val="719F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99E972-6844-477C-849D-FD032748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400" w:lineRule="exact"/>
      <w:jc w:val="both"/>
    </w:pPr>
    <w:rPr>
      <w:kern w:val="2"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  <w:rPr>
      <w:kern w:val="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justbehappy</dc:creator>
  <cp:lastModifiedBy>app</cp:lastModifiedBy>
  <cp:revision>3</cp:revision>
  <dcterms:created xsi:type="dcterms:W3CDTF">2020-12-18T10:10:00Z</dcterms:created>
  <dcterms:modified xsi:type="dcterms:W3CDTF">2020-12-18T10:10:00Z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